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
      </w:pPr>
      <w:r>
        <w:rPr>
          <w:rFonts w:ascii="Arial" w:cs="Arial" w:eastAsia="Arial" w:hAnsi="Arial"/>
          <w:b/>
          <w:bCs/>
          <w:color w:val="01696F"/>
          <w:sz w:val="22"/>
          <w:szCs w:val="22"/>
        </w:rPr>
        <w:t xml:space="preserve">Trip Report — Summit Industrial Solutions</w:t>
      </w:r>
    </w:p>
    <w:p>
      <w:pPr>
        <w:spacing w:after="60" w:line="280"/>
      </w:pPr>
      <w:r>
        <w:rPr>
          <w:rFonts w:ascii="Arial" w:cs="Arial" w:eastAsia="Arial" w:hAnsi="Arial"/>
          <w:b/>
          <w:bCs/>
          <w:color w:val="28251D"/>
          <w:sz w:val="22"/>
          <w:szCs w:val="22"/>
        </w:rPr>
        <w:t xml:space="preserve">Date of Event: </w:t>
      </w:r>
      <w:r>
        <w:rPr>
          <w:rFonts w:ascii="Arial" w:cs="Arial" w:eastAsia="Arial" w:hAnsi="Arial"/>
          <w:color w:val="28251D"/>
          <w:sz w:val="22"/>
          <w:szCs w:val="22"/>
        </w:rPr>
        <w:t xml:space="preserve">October 7-9, 2026</w:t>
      </w:r>
    </w:p>
    <w:p>
      <w:pPr>
        <w:spacing w:after="60" w:line="280"/>
      </w:pPr>
      <w:r>
        <w:rPr>
          <w:rFonts w:ascii="Arial" w:cs="Arial" w:eastAsia="Arial" w:hAnsi="Arial"/>
          <w:b/>
          <w:bCs/>
          <w:color w:val="28251D"/>
          <w:sz w:val="22"/>
          <w:szCs w:val="22"/>
        </w:rPr>
        <w:t xml:space="preserve">Location: </w:t>
      </w:r>
      <w:r>
        <w:rPr>
          <w:rFonts w:ascii="Arial" w:cs="Arial" w:eastAsia="Arial" w:hAnsi="Arial"/>
          <w:color w:val="28251D"/>
          <w:sz w:val="22"/>
          <w:szCs w:val="22"/>
        </w:rPr>
        <w:t xml:space="preserve">North American Industrial Solutions Expo 2026, Chicago</w:t>
      </w:r>
    </w:p>
    <w:p>
      <w:pPr>
        <w:spacing w:after="60" w:line="280"/>
      </w:pPr>
      <w:r>
        <w:rPr>
          <w:rFonts w:ascii="Arial" w:cs="Arial" w:eastAsia="Arial" w:hAnsi="Arial"/>
          <w:b/>
          <w:bCs/>
          <w:color w:val="28251D"/>
          <w:sz w:val="22"/>
          <w:szCs w:val="22"/>
        </w:rPr>
        <w:t xml:space="preserve">Author: </w:t>
      </w:r>
      <w:r>
        <w:rPr>
          <w:rFonts w:ascii="Arial" w:cs="Arial" w:eastAsia="Arial" w:hAnsi="Arial"/>
          <w:color w:val="28251D"/>
          <w:sz w:val="22"/>
          <w:szCs w:val="22"/>
        </w:rPr>
        <w:t xml:space="preserve">Alex Morgan (fictional)</w:t>
      </w:r>
    </w:p>
    <w:p>
      <w:pPr>
        <w:spacing w:after="160" w:line="300"/>
      </w:pPr>
      <w:r>
        <w:rPr>
          <w:rFonts w:ascii="Arial" w:cs="Arial" w:eastAsia="Arial" w:hAnsi="Arial"/>
          <w:color w:val="28251D"/>
          <w:sz w:val="22"/>
          <w:szCs w:val="22"/>
        </w:rPr>
        <w:t xml:space="preserve">Profile-based business assessment. Verify transcribed contacts before outreach; cards do not establish meetings or buying intent.</w:t>
      </w:r>
    </w:p>
    <w:p>
      <w:pPr>
        <w:spacing w:after="160" w:line="300"/>
      </w:pPr>
      <w:r>
        <w:rPr>
          <w:rFonts w:ascii="Arial" w:cs="Arial" w:eastAsia="Arial" w:hAnsi="Arial"/>
          <w:color w:val="28251D"/>
          <w:sz w:val="22"/>
          <w:szCs w:val="22"/>
        </w:rPr>
        <w:t xml:space="preserve">Illustrative demonstration based on fictional event and contact notes. Preliminary judgments are not verification of real businesses or opportunities.</w:t>
      </w:r>
    </w:p>
    <w:p>
      <w:pPr>
        <w:keepNext/>
        <w:spacing w:after="160" w:before="360"/>
      </w:pPr>
      <w:r>
        <w:rPr>
          <w:rFonts w:ascii="Arial" w:cs="Arial" w:eastAsia="Arial" w:hAnsi="Arial"/>
          <w:b/>
          <w:bCs/>
          <w:color w:val="01696F"/>
          <w:sz w:val="22"/>
          <w:szCs w:val="22"/>
        </w:rPr>
        <w:t xml:space="preserve">BLUF</w:t>
      </w:r>
    </w:p>
    <w:p>
      <w:pPr>
        <w:spacing w:after="160" w:line="300"/>
      </w:pPr>
      <w:r>
        <w:rPr>
          <w:rFonts w:ascii="Arial" w:cs="Arial" w:eastAsia="Arial" w:hAnsi="Arial"/>
          <w:color w:val="28251D"/>
          <w:sz w:val="22"/>
          <w:szCs w:val="22"/>
        </w:rPr>
        <w:t xml:space="preserve">I identified five plausible partner relationships, but only one specific project lead: Horizon Facility Partners described a possible Indiana warehouse expansion that may need temporary covered storage. None of the discussions established an order, budget or procurement schedule. I would qualify the Indiana requirement first, then develop the logistics, engineering, distribution and equipment relationships according to their practical contribution.</w:t>
      </w:r>
    </w:p>
    <w:p>
      <w:pPr>
        <w:keepNext/>
        <w:spacing w:after="160" w:before="360"/>
      </w:pPr>
      <w:r>
        <w:rPr>
          <w:rFonts w:ascii="Arial" w:cs="Arial" w:eastAsia="Arial" w:hAnsi="Arial"/>
          <w:b/>
          <w:bCs/>
          <w:color w:val="01696F"/>
          <w:sz w:val="22"/>
          <w:szCs w:val="22"/>
        </w:rPr>
        <w:t xml:space="preserve">Networking and Attendance Observations</w:t>
      </w:r>
    </w:p>
    <w:p>
      <w:pPr>
        <w:spacing w:after="160" w:line="300"/>
      </w:pPr>
      <w:r>
        <w:rPr>
          <w:rFonts w:ascii="Arial" w:cs="Arial" w:eastAsia="Arial" w:hAnsi="Arial"/>
          <w:color w:val="28251D"/>
          <w:sz w:val="22"/>
          <w:szCs w:val="22"/>
        </w:rPr>
        <w:t xml:space="preserve">Across three days, I met contacts in distribution, engineering, logistics, facilities management and equipment supply. The conversations covered customer reach, installation support, delivery constraints and product compatibility. Clearview's discussion remained general networking, with no relevant infrastructure requirement identified.</w:t>
      </w:r>
    </w:p>
    <w:p>
      <w:pPr>
        <w:keepNext/>
        <w:spacing w:after="160" w:before="360"/>
      </w:pPr>
      <w:r>
        <w:rPr>
          <w:rFonts w:ascii="Arial" w:cs="Arial" w:eastAsia="Arial" w:hAnsi="Arial"/>
          <w:b/>
          <w:bCs/>
          <w:color w:val="01696F"/>
          <w:sz w:val="22"/>
          <w:szCs w:val="22"/>
        </w:rPr>
        <w:t xml:space="preserve">Key Market Findings / Analysis</w:t>
      </w:r>
    </w:p>
    <w:p>
      <w:pPr>
        <w:spacing w:after="160" w:line="300"/>
      </w:pPr>
      <w:r>
        <w:rPr>
          <w:rFonts w:ascii="Arial" w:cs="Arial" w:eastAsia="Arial" w:hAnsi="Arial"/>
          <w:color w:val="28251D"/>
          <w:sz w:val="22"/>
          <w:szCs w:val="22"/>
        </w:rPr>
        <w:t xml:space="preserve">Customer access and delivery capability address different needs. Northstar could improve transport and staging without becoming a sales channel; Ironbridge could provide distribution access, while Apex and BluePeak could strengthen execution or equipment integration. Before investing further, I need to verify each company's capabilities and clarify its role. A potential partnership is not a confirmed opportunity.</w:t>
      </w:r>
    </w:p>
    <w:p>
      <w:pPr>
        <w:keepNext/>
        <w:spacing w:after="160" w:before="360"/>
      </w:pPr>
      <w:r>
        <w:rPr>
          <w:rFonts w:ascii="Arial" w:cs="Arial" w:eastAsia="Arial" w:hAnsi="Arial"/>
          <w:b/>
          <w:bCs/>
          <w:color w:val="01696F"/>
          <w:sz w:val="22"/>
          <w:szCs w:val="22"/>
        </w:rPr>
        <w:t xml:space="preserve">Recommended Actions</w:t>
      </w:r>
    </w:p>
    <w:p>
      <w:pPr>
        <w:spacing w:after="120" w:line="300"/>
        <w:ind w:left="360" w:hanging="220"/>
      </w:pPr>
      <w:r>
        <w:rPr>
          <w:rFonts w:ascii="Arial" w:cs="Arial" w:eastAsia="Arial" w:hAnsi="Arial"/>
          <w:color w:val="28251D"/>
          <w:sz w:val="22"/>
          <w:szCs w:val="22"/>
        </w:rPr>
        <w:t xml:space="preserve">• </w:t>
      </w:r>
      <w:r>
        <w:rPr>
          <w:rFonts w:ascii="Arial" w:cs="Arial" w:eastAsia="Arial" w:hAnsi="Arial"/>
          <w:color w:val="28251D"/>
          <w:sz w:val="22"/>
          <w:szCs w:val="22"/>
        </w:rPr>
        <w:t xml:space="preserve">Robert Hayes (Horizon Facility Partners; Medium suggested priority): Schedule a follow-up meeting to discuss the potential Indiana warehouse requirement. Discuss possible teaming arrangements and responsibilities for installation, maintenance, and customer support. Priority rationale: Qualify the specific preliminary requirement before exploratory partnerships; urgency is not established.</w:t>
      </w:r>
    </w:p>
    <w:p>
      <w:pPr>
        <w:spacing w:after="120" w:line="300"/>
        <w:ind w:left="360" w:hanging="220"/>
      </w:pPr>
      <w:r>
        <w:rPr>
          <w:rFonts w:ascii="Arial" w:cs="Arial" w:eastAsia="Arial" w:hAnsi="Arial"/>
          <w:color w:val="28251D"/>
          <w:sz w:val="22"/>
          <w:szCs w:val="22"/>
        </w:rPr>
        <w:t xml:space="preserve">• </w:t>
      </w:r>
      <w:r>
        <w:rPr>
          <w:rFonts w:ascii="Arial" w:cs="Arial" w:eastAsia="Arial" w:hAnsi="Arial"/>
          <w:color w:val="28251D"/>
          <w:sz w:val="22"/>
          <w:szCs w:val="22"/>
        </w:rPr>
        <w:t xml:space="preserve">Michael Reeves (Northstar Freight Solutions; Medium suggested priority): Request Northstar's logistics capability statement and service coverage. Request indicative transportation pricing for representative domestic shipments. Priority rationale: Strong potential contribution supports earlier exploratory follow-up, not automatic urgency.</w:t>
      </w:r>
    </w:p>
    <w:p>
      <w:pPr>
        <w:spacing w:after="120" w:line="300"/>
        <w:ind w:left="360" w:hanging="220"/>
      </w:pPr>
      <w:r>
        <w:rPr>
          <w:rFonts w:ascii="Arial" w:cs="Arial" w:eastAsia="Arial" w:hAnsi="Arial"/>
          <w:color w:val="28251D"/>
          <w:sz w:val="22"/>
          <w:szCs w:val="22"/>
        </w:rPr>
        <w:t xml:space="preserve">• </w:t>
      </w:r>
      <w:r>
        <w:rPr>
          <w:rFonts w:ascii="Arial" w:cs="Arial" w:eastAsia="Arial" w:hAnsi="Arial"/>
          <w:color w:val="28251D"/>
          <w:sz w:val="22"/>
          <w:szCs w:val="22"/>
        </w:rPr>
        <w:t xml:space="preserve">Sarah Collins (Apex Modular Engineering; Medium suggested priority): Provide Summit's product specifications and installation overview. Schedule a technical discussion between Summit and Apex representatives. Priority rationale: Qualify execution capabilities; no specific requirement or urgent action is established.</w:t>
      </w:r>
    </w:p>
    <w:p>
      <w:pPr>
        <w:spacing w:after="120" w:line="300"/>
        <w:ind w:left="360" w:hanging="220"/>
      </w:pPr>
      <w:r>
        <w:rPr>
          <w:rFonts w:ascii="Arial" w:cs="Arial" w:eastAsia="Arial" w:hAnsi="Arial"/>
          <w:color w:val="28251D"/>
          <w:sz w:val="22"/>
          <w:szCs w:val="22"/>
        </w:rPr>
        <w:t xml:space="preserve">• </w:t>
      </w:r>
      <w:r>
        <w:rPr>
          <w:rFonts w:ascii="Arial" w:cs="Arial" w:eastAsia="Arial" w:hAnsi="Arial"/>
          <w:color w:val="28251D"/>
          <w:sz w:val="22"/>
          <w:szCs w:val="22"/>
        </w:rPr>
        <w:t xml:space="preserve">Jennifer Brooks (BluePeak Industrial Systems; Medium suggested priority): Exchange product catalogs and technical specifications. Review electrical, ventilation, installation, and integration requirements. Priority rationale: Check complementary supply capabilities; no specific requirement or urgent action is established.</w:t>
      </w:r>
    </w:p>
    <w:p>
      <w:pPr>
        <w:spacing w:after="120" w:line="300"/>
        <w:ind w:left="360" w:hanging="220"/>
      </w:pPr>
      <w:r>
        <w:rPr>
          <w:rFonts w:ascii="Arial" w:cs="Arial" w:eastAsia="Arial" w:hAnsi="Arial"/>
          <w:color w:val="28251D"/>
          <w:sz w:val="22"/>
          <w:szCs w:val="22"/>
        </w:rPr>
        <w:t xml:space="preserve">• </w:t>
      </w:r>
      <w:r>
        <w:rPr>
          <w:rFonts w:ascii="Arial" w:cs="Arial" w:eastAsia="Arial" w:hAnsi="Arial"/>
          <w:color w:val="28251D"/>
          <w:sz w:val="22"/>
          <w:szCs w:val="22"/>
        </w:rPr>
        <w:t xml:space="preserve">Daniel Mercer (Ironbridge Distribution Group; Medium suggested priority): Request Ironbridge's capability statement and geographic coverage details. Evaluate distributor fit, technical support expectations, and commercial terms. Priority rationale: Qualify reported customer access; no specific requirement or urgent action is established.</w:t>
      </w:r>
    </w:p>
    <w:p>
      <w:pPr>
        <w:spacing w:after="120" w:line="300"/>
        <w:ind w:left="360" w:hanging="220"/>
      </w:pPr>
      <w:r>
        <w:rPr>
          <w:rFonts w:ascii="Arial" w:cs="Arial" w:eastAsia="Arial" w:hAnsi="Arial"/>
          <w:color w:val="28251D"/>
          <w:sz w:val="22"/>
          <w:szCs w:val="22"/>
        </w:rPr>
        <w:t xml:space="preserve">• </w:t>
      </w:r>
      <w:r>
        <w:rPr>
          <w:rFonts w:ascii="Arial" w:cs="Arial" w:eastAsia="Arial" w:hAnsi="Arial"/>
          <w:color w:val="28251D"/>
          <w:sz w:val="22"/>
          <w:szCs w:val="22"/>
        </w:rPr>
        <w:t xml:space="preserve">Emily Carter (Clearview Consumer Products; Low suggested priority): Send a brief professional message thanking Emily for the conversation. Maintain the relationship for general industry networking. Priority rationale: Networking only; no specific commercial follow-up established.</w:t>
      </w:r>
    </w:p>
    <w:p>
      <w:pPr>
        <w:spacing w:after="160" w:line="300"/>
      </w:pPr>
      <w:r>
        <w:rPr>
          <w:rFonts w:ascii="Arial" w:cs="Arial" w:eastAsia="Arial" w:hAnsi="Arial"/>
          <w:color w:val="28251D"/>
          <w:sz w:val="22"/>
          <w:szCs w:val="22"/>
        </w:rPr>
        <w:t xml:space="preserve">Contact actions above are recorded follow-ups; completion is not recorded. Priorities are suggested, not deadlines or commitments. Verify credentials alongside commercial qualification.</w:t>
      </w:r>
    </w:p>
    <w:p>
      <w:pPr>
        <w:keepNext/>
        <w:spacing w:after="100" w:before="160"/>
      </w:pPr>
      <w:r>
        <w:rPr>
          <w:rFonts w:ascii="Arial" w:cs="Arial" w:eastAsia="Arial" w:hAnsi="Arial"/>
          <w:b/>
          <w:bCs/>
          <w:color w:val="01696F"/>
          <w:sz w:val="22"/>
          <w:szCs w:val="22"/>
        </w:rPr>
        <w:t xml:space="preserve">Business-fit assessments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19"/>
        <w:gridCol w:w="3226"/>
        <w:gridCol w:w="4435"/>
      </w:tblGrid>
      <w:tr>
        <w:trPr>
          <w:cantSplit/>
          <w:tblHeader/>
        </w:trPr>
        <w:tc>
          <w:tcPr>
            <w:tcW w:type="pct" w:w="24%"/>
            <w:shd w:fill="01696F"/>
            <w:tcMar>
              <w:top w:type="dxa" w:w="70"/>
              <w:left w:type="dxa" w:w="90"/>
              <w:bottom w:type="dxa" w:w="70"/>
              <w:right w:type="dxa" w:w="90"/>
            </w:tcMar>
          </w:tcPr>
          <w:p>
            <w:pPr>
              <w:spacing w:after="40"/>
            </w:pPr>
            <w:r>
              <w:rPr>
                <w:rFonts w:ascii="Arial" w:cs="Arial" w:eastAsia="Arial" w:hAnsi="Arial"/>
                <w:b/>
                <w:bCs/>
                <w:color w:val="FFFFFF"/>
                <w:sz w:val="22"/>
                <w:szCs w:val="22"/>
              </w:rPr>
              <w:t xml:space="preserve">Business</w:t>
            </w:r>
          </w:p>
        </w:tc>
        <w:tc>
          <w:tcPr>
            <w:tcW w:type="pct" w:w="32%"/>
            <w:shd w:fill="01696F"/>
            <w:tcMar>
              <w:top w:type="dxa" w:w="70"/>
              <w:left w:type="dxa" w:w="90"/>
              <w:bottom w:type="dxa" w:w="70"/>
              <w:right w:type="dxa" w:w="90"/>
            </w:tcMar>
          </w:tcPr>
          <w:p>
            <w:pPr>
              <w:spacing w:after="40"/>
            </w:pPr>
            <w:r>
              <w:rPr>
                <w:rFonts w:ascii="Arial" w:cs="Arial" w:eastAsia="Arial" w:hAnsi="Arial"/>
                <w:b/>
                <w:bCs/>
                <w:color w:val="FFFFFF"/>
                <w:sz w:val="22"/>
                <w:szCs w:val="22"/>
              </w:rPr>
              <w:t xml:space="preserve">Preliminary fit / Verification</w:t>
            </w:r>
          </w:p>
        </w:tc>
        <w:tc>
          <w:tcPr>
            <w:tcW w:type="pct" w:w="44%"/>
            <w:shd w:fill="01696F"/>
            <w:tcMar>
              <w:top w:type="dxa" w:w="70"/>
              <w:left w:type="dxa" w:w="90"/>
              <w:bottom w:type="dxa" w:w="70"/>
              <w:right w:type="dxa" w:w="90"/>
            </w:tcMar>
          </w:tcPr>
          <w:p>
            <w:pPr>
              <w:spacing w:after="40"/>
            </w:pPr>
            <w:r>
              <w:rPr>
                <w:rFonts w:ascii="Arial" w:cs="Arial" w:eastAsia="Arial" w:hAnsi="Arial"/>
                <w:b/>
                <w:bCs/>
                <w:color w:val="FFFFFF"/>
                <w:sz w:val="22"/>
                <w:szCs w:val="22"/>
              </w:rPr>
              <w:t xml:space="preserve">Practical value / Opportunity</w:t>
            </w:r>
          </w:p>
        </w:tc>
      </w:tr>
      <w:tr>
        <w:trPr>
          <w:cantSplit/>
        </w:trPr>
        <w:tc>
          <w:tcPr>
            <w:tcW w:type="pct" w:w="2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Horizon Facility Partners</w:t>
            </w:r>
          </w:p>
        </w:tc>
        <w:tc>
          <w:tcPr>
            <w:tcW w:type="pct" w:w="32%"/>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Moderate potential: Execution partner Unverified: fictional demonstration. Medium suggested priority.</w:t>
            </w:r>
          </w:p>
        </w:tc>
        <w:tc>
          <w:tcPr>
            <w:tcW w:type="pct" w:w="4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Reported customer relationships and project coordination make Horizon a plausible execution and access partner, with a preliminary Indiana requirement that fits Summit’s products. Opportunity: Preliminary requirement.</w:t>
            </w:r>
          </w:p>
        </w:tc>
      </w:tr>
      <w:tr>
        <w:trPr>
          <w:cantSplit/>
        </w:trPr>
        <w:tc>
          <w:tcPr>
            <w:tcW w:type="pct" w:w="2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Northstar Freight Solutions</w:t>
            </w:r>
          </w:p>
        </w:tc>
        <w:tc>
          <w:tcPr>
            <w:tcW w:type="pct" w:w="32%"/>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Strong potential: Logistics/service provider Unverified: fictional demonstration. Medium suggested priority.</w:t>
            </w:r>
          </w:p>
        </w:tc>
        <w:tc>
          <w:tcPr>
            <w:tcW w:type="pct" w:w="4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Reported logistics support aligns with Summit’s project services and could help move modular products, but customer access is unconfirmed. Opportunity: Exploratory.</w:t>
            </w:r>
          </w:p>
        </w:tc>
      </w:tr>
      <w:tr>
        <w:trPr>
          <w:cantSplit/>
        </w:trPr>
        <w:tc>
          <w:tcPr>
            <w:tcW w:type="pct" w:w="2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Apex Modular Engineering</w:t>
            </w:r>
          </w:p>
        </w:tc>
        <w:tc>
          <w:tcPr>
            <w:tcW w:type="pct" w:w="32%"/>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Moderate potential: Execution partner Unverified: fictional demonstration. Medium suggested priority.</w:t>
            </w:r>
          </w:p>
        </w:tc>
        <w:tc>
          <w:tcPr>
            <w:tcW w:type="pct" w:w="4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Reported complementary engineering and installation support could help Summit sell and deliver modular projects, but customer access and execution are still unverified. Opportunity: Exploratory.</w:t>
            </w:r>
          </w:p>
        </w:tc>
      </w:tr>
      <w:tr>
        <w:trPr>
          <w:cantSplit/>
        </w:trPr>
        <w:tc>
          <w:tcPr>
            <w:tcW w:type="pct" w:w="2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BluePeak Industrial Systems</w:t>
            </w:r>
          </w:p>
        </w:tc>
        <w:tc>
          <w:tcPr>
            <w:tcW w:type="pct" w:w="32%"/>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Moderate potential: Complementary supplier Unverified: fictional demonstration. Medium suggested priority.</w:t>
            </w:r>
          </w:p>
        </w:tc>
        <w:tc>
          <w:tcPr>
            <w:tcW w:type="pct" w:w="4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Reportedly complementary equipment and integration discussions suggest useful supplier support for Summit projects, but no live requirement or commitment was identified. Opportunity: Exploratory.</w:t>
            </w:r>
          </w:p>
        </w:tc>
      </w:tr>
      <w:tr>
        <w:trPr>
          <w:cantSplit/>
        </w:trPr>
        <w:tc>
          <w:tcPr>
            <w:tcW w:type="pct" w:w="2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Ironbridge Distribution Group</w:t>
            </w:r>
          </w:p>
        </w:tc>
        <w:tc>
          <w:tcPr>
            <w:tcW w:type="pct" w:w="32%"/>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Moderate potential: Channel/distributor Unverified: fictional demonstration. Medium suggested priority.</w:t>
            </w:r>
          </w:p>
        </w:tc>
        <w:tc>
          <w:tcPr>
            <w:tcW w:type="pct" w:w="4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Reported Midwest distribution reach and interest in pricing, timelines, and installation support make it a plausible distribution lead, but the record is fictional and unverified. Opportunity: Exploratory.</w:t>
            </w:r>
          </w:p>
        </w:tc>
      </w:tr>
      <w:tr>
        <w:trPr>
          <w:cantSplit/>
        </w:trPr>
        <w:tc>
          <w:tcPr>
            <w:tcW w:type="pct" w:w="2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Clearview Consumer Products</w:t>
            </w:r>
          </w:p>
        </w:tc>
        <w:tc>
          <w:tcPr>
            <w:tcW w:type="pct" w:w="32%"/>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Limited potential: Networking only Unverified: fictional demonstration. Low suggested priority.</w:t>
            </w:r>
          </w:p>
        </w:tc>
        <w:tc>
          <w:tcPr>
            <w:tcW w:type="pct" w:w="4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Reported value is limited to networking and possible introductions; no relevant infrastructure need, project, or delivery role is shown. Opportunity: Networking only.</w:t>
            </w:r>
          </w:p>
        </w:tc>
      </w:tr>
    </w:tbl>
    <w:p>
      <w:pPr>
        <w:spacing w:after="100"/>
      </w:pPr>
      <w:r>
        <w:rPr>
          <w:rFonts w:ascii="Arial" w:cs="Arial" w:eastAsia="Arial" w:hAnsi="Arial"/>
          <w:sz w:val="22"/>
          <w:szCs w:val="22"/>
        </w:rPr>
        <w:t xml:space="preserve">Preliminary fit and suggested priority reflect user-reported meeting notes, not independent verification or a commitment. Within a priority band, businesses are ordered by opportunity maturity, then fit, then alphabetically where evidence is equal. Any numeric score uses the separate evidence-backed rubric, not deal maturity. Unverified credentials still require qualification.</w:t>
      </w:r>
    </w:p>
    <w:p>
      <w:pPr>
        <w:spacing w:after="160" w:line="300"/>
      </w:pPr>
      <w:r>
        <w:rPr>
          <w:rFonts w:ascii="Arial" w:cs="Arial" w:eastAsia="Arial" w:hAnsi="Arial"/>
          <w:color w:val="28251D"/>
          <w:sz w:val="22"/>
          <w:szCs w:val="22"/>
        </w:rPr>
        <w:t xml:space="preserve">The Excel workbook contains Contacts and Business_Assessment, with supporting evidence in cell notes. Original notes and photos remain in the trip.</w:t>
      </w:r>
    </w:p>
    <w:p>
      <w:pPr>
        <w:sectPr>
          <w:footerReference w:type="default" r:id="rId7"/>
          <w:pgSz w:w="12240" w:h="15840" w:orient="portrait"/>
          <w:pgMar w:top="1440" w:right="1440" w:bottom="1440" w:left="1440" w:header="708" w:footer="708" w:gutter="0"/>
          <w:pgNumType/>
          <w:docGrid w:linePitch="360"/>
        </w:sectPr>
      </w:pPr>
    </w:p>
    <w:p>
      <w:pPr>
        <w:keepNext/>
        <w:spacing w:after="100" w:before="160"/>
      </w:pPr>
      <w:r>
        <w:rPr>
          <w:rFonts w:ascii="Arial" w:cs="Arial" w:eastAsia="Arial" w:hAnsi="Arial"/>
          <w:b/>
          <w:bCs/>
          <w:color w:val="01696F"/>
          <w:sz w:val="22"/>
          <w:szCs w:val="22"/>
        </w:rPr>
        <w:t xml:space="preserve">Contact summary</w:t>
      </w:r>
    </w:p>
    <w:p>
      <w:pPr>
        <w:keepNext/>
        <w:spacing w:after="100"/>
      </w:pPr>
      <w:r>
        <w:rPr>
          <w:rFonts w:ascii="Arial" w:cs="Arial" w:eastAsia="Arial" w:hAnsi="Arial"/>
          <w:color w:val="28251D"/>
          <w:sz w:val="22"/>
          <w:szCs w:val="22"/>
        </w:rPr>
        <w:t xml:space="preserve">Full contact records are in Excel. Wholly empty columns are omitted; missing details are not inferred.</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31"/>
        <w:gridCol w:w="3003"/>
        <w:gridCol w:w="3646"/>
      </w:tblGrid>
      <w:tr>
        <w:trPr>
          <w:cantSplit/>
          <w:tblHeader/>
        </w:trPr>
        <w:tc>
          <w:tcPr>
            <w:tcW w:type="pct" w:w="34.04255319148936%"/>
            <w:shd w:fill="01696F"/>
            <w:tcMar>
              <w:top w:type="dxa" w:w="90"/>
              <w:left w:type="dxa" w:w="100"/>
              <w:bottom w:type="dxa" w:w="90"/>
              <w:right w:type="dxa" w:w="100"/>
            </w:tcMar>
          </w:tcPr>
          <w:p>
            <w:pPr>
              <w:spacing w:after="35"/>
            </w:pPr>
            <w:r>
              <w:rPr>
                <w:rFonts w:ascii="Arial" w:cs="Arial" w:eastAsia="Arial" w:hAnsi="Arial"/>
                <w:b/>
                <w:bCs/>
                <w:color w:val="FFFFFF"/>
                <w:sz w:val="22"/>
                <w:szCs w:val="22"/>
              </w:rPr>
              <w:t xml:space="preserve">Company</w:t>
            </w:r>
          </w:p>
        </w:tc>
        <w:tc>
          <w:tcPr>
            <w:tcW w:type="pct" w:w="29.78723404255319%"/>
            <w:shd w:fill="01696F"/>
            <w:tcMar>
              <w:top w:type="dxa" w:w="90"/>
              <w:left w:type="dxa" w:w="100"/>
              <w:bottom w:type="dxa" w:w="90"/>
              <w:right w:type="dxa" w:w="100"/>
            </w:tcMar>
          </w:tcPr>
          <w:p>
            <w:pPr>
              <w:spacing w:after="35"/>
            </w:pPr>
            <w:r>
              <w:rPr>
                <w:rFonts w:ascii="Arial" w:cs="Arial" w:eastAsia="Arial" w:hAnsi="Arial"/>
                <w:b/>
                <w:bCs/>
                <w:color w:val="FFFFFF"/>
                <w:sz w:val="22"/>
                <w:szCs w:val="22"/>
              </w:rPr>
              <w:t xml:space="preserve">Name</w:t>
            </w:r>
          </w:p>
        </w:tc>
        <w:tc>
          <w:tcPr>
            <w:tcW w:type="pct" w:w="36.17021276595745%"/>
            <w:shd w:fill="01696F"/>
            <w:tcMar>
              <w:top w:type="dxa" w:w="90"/>
              <w:left w:type="dxa" w:w="100"/>
              <w:bottom w:type="dxa" w:w="90"/>
              <w:right w:type="dxa" w:w="100"/>
            </w:tcMar>
          </w:tcPr>
          <w:p>
            <w:pPr>
              <w:spacing w:after="35"/>
            </w:pPr>
            <w:r>
              <w:rPr>
                <w:rFonts w:ascii="Arial" w:cs="Arial" w:eastAsia="Arial" w:hAnsi="Arial"/>
                <w:b/>
                <w:bCs/>
                <w:color w:val="FFFFFF"/>
                <w:sz w:val="22"/>
                <w:szCs w:val="22"/>
              </w:rPr>
              <w:t xml:space="preserve">Job title</w:t>
            </w:r>
          </w:p>
        </w:tc>
      </w:tr>
      <w:tr>
        <w:trPr>
          <w:cantSplit/>
        </w:trPr>
        <w:tc>
          <w:tcPr>
            <w:tcW w:type="pct" w:w="34.04255319148936%"/>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Horizon Facility Partners</w:t>
            </w:r>
          </w:p>
        </w:tc>
        <w:tc>
          <w:tcPr>
            <w:tcW w:type="pct" w:w="29.78723404255319%"/>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Robert Hayes</w:t>
            </w:r>
          </w:p>
        </w:tc>
        <w:tc>
          <w:tcPr>
            <w:tcW w:type="pct" w:w="36.17021276595745%"/>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Vice President, Business Development</w:t>
            </w:r>
          </w:p>
        </w:tc>
      </w:tr>
      <w:tr>
        <w:trPr>
          <w:cantSplit/>
        </w:trPr>
        <w:tc>
          <w:tcPr>
            <w:tcW w:type="pct" w:w="34.04255319148936%"/>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Northstar Freight Solutions</w:t>
            </w:r>
          </w:p>
        </w:tc>
        <w:tc>
          <w:tcPr>
            <w:tcW w:type="pct" w:w="29.78723404255319%"/>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Michael Reeves</w:t>
            </w:r>
          </w:p>
        </w:tc>
        <w:tc>
          <w:tcPr>
            <w:tcW w:type="pct" w:w="36.17021276595745%"/>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Director of Strategic Partnerships</w:t>
            </w:r>
          </w:p>
        </w:tc>
      </w:tr>
      <w:tr>
        <w:trPr>
          <w:cantSplit/>
        </w:trPr>
        <w:tc>
          <w:tcPr>
            <w:tcW w:type="pct" w:w="34.04255319148936%"/>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Apex Modular Engineering</w:t>
            </w:r>
          </w:p>
        </w:tc>
        <w:tc>
          <w:tcPr>
            <w:tcW w:type="pct" w:w="29.78723404255319%"/>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Sarah Collins</w:t>
            </w:r>
          </w:p>
        </w:tc>
        <w:tc>
          <w:tcPr>
            <w:tcW w:type="pct" w:w="36.17021276595745%"/>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Director of Business Development</w:t>
            </w:r>
          </w:p>
        </w:tc>
      </w:tr>
      <w:tr>
        <w:trPr>
          <w:cantSplit/>
        </w:trPr>
        <w:tc>
          <w:tcPr>
            <w:tcW w:type="pct" w:w="34.04255319148936%"/>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BluePeak Industrial Systems</w:t>
            </w:r>
          </w:p>
        </w:tc>
        <w:tc>
          <w:tcPr>
            <w:tcW w:type="pct" w:w="29.78723404255319%"/>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Jennifer Brooks</w:t>
            </w:r>
          </w:p>
        </w:tc>
        <w:tc>
          <w:tcPr>
            <w:tcW w:type="pct" w:w="36.17021276595745%"/>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Regional Sales Director</w:t>
            </w:r>
          </w:p>
        </w:tc>
      </w:tr>
      <w:tr>
        <w:trPr>
          <w:cantSplit/>
        </w:trPr>
        <w:tc>
          <w:tcPr>
            <w:tcW w:type="pct" w:w="34.04255319148936%"/>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Ironbridge Distribution Group</w:t>
            </w:r>
          </w:p>
        </w:tc>
        <w:tc>
          <w:tcPr>
            <w:tcW w:type="pct" w:w="29.78723404255319%"/>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Daniel Mercer</w:t>
            </w:r>
          </w:p>
        </w:tc>
        <w:tc>
          <w:tcPr>
            <w:tcW w:type="pct" w:w="36.17021276595745%"/>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Head of Procurement</w:t>
            </w:r>
          </w:p>
        </w:tc>
      </w:tr>
      <w:tr>
        <w:trPr>
          <w:cantSplit/>
        </w:trPr>
        <w:tc>
          <w:tcPr>
            <w:tcW w:type="pct" w:w="34.04255319148936%"/>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Clearview Consumer Products</w:t>
            </w:r>
          </w:p>
        </w:tc>
        <w:tc>
          <w:tcPr>
            <w:tcW w:type="pct" w:w="29.78723404255319%"/>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Emily Carter</w:t>
            </w:r>
          </w:p>
        </w:tc>
        <w:tc>
          <w:tcPr>
            <w:tcW w:type="pct" w:w="36.17021276595745%"/>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Director of Strategic Sourcing</w:t>
            </w:r>
          </w:p>
        </w:tc>
      </w:tr>
    </w:tbl>
    <w:sectPr>
      <w:type w:val="nextPage"/>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A7974" w:sz="4" w:space="4"/>
      </w:pBdr>
      <w:jc w:val="left"/>
    </w:pPr>
    <w:r>
      <w:rPr>
        <w:rFonts w:ascii="Arial" w:cs="Arial" w:eastAsia="Arial" w:hAnsi="Arial"/>
        <w:color w:val="7A7974"/>
        <w:sz w:val="22"/>
        <w:szCs w:val="22"/>
      </w:rPr>
      <w:t xml:space="preserve">TripDeck report — Summit Industrial Solutions · Trip Report · Generated by TripDeck</w:t>
    </w:r>
    <w:r>
      <w:rPr>
        <w:rFonts w:ascii="Arial" w:cs="Arial" w:eastAsia="Arial" w:hAnsi="Arial"/>
        <w:color w:val="7A7974"/>
        <w:sz w:val="22"/>
        <w:szCs w:val="22"/>
      </w:rPr>
      <w:t xml:space="preserve"> | Page </w:t>
    </w:r>
    <w:r>
      <w:rPr>
        <w:rFonts w:ascii="Arial" w:cs="Arial" w:eastAsia="Arial" w:hAnsi="Arial"/>
        <w:color w:val="7A7974"/>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Morgan (fictional)</dc:creator>
  <cp:lastModifiedBy>Un-named</cp:lastModifiedBy>
  <cp:revision>1</cp:revision>
  <dcterms:created xsi:type="dcterms:W3CDTF">2026-10-12T11:41:02.791Z</dcterms:created>
  <dcterms:modified xsi:type="dcterms:W3CDTF">2026-10-12T11:41:02.796Z</dcterms:modified>
</cp:coreProperties>
</file>

<file path=docProps/custom.xml><?xml version="1.0" encoding="utf-8"?>
<Properties xmlns="http://schemas.openxmlformats.org/officeDocument/2006/custom-properties" xmlns:vt="http://schemas.openxmlformats.org/officeDocument/2006/docPropsVTypes"/>
</file>