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pPr>
      <w:r>
        <w:rPr>
          <w:rFonts w:ascii="Arial" w:cs="Arial" w:eastAsia="Arial" w:hAnsi="Arial"/>
          <w:b/>
          <w:bCs/>
          <w:color w:val="01696F"/>
          <w:sz w:val="22"/>
          <w:szCs w:val="22"/>
        </w:rPr>
        <w:t xml:space="preserve">Trip Report: Aureus Composite | Facility Walkthrough</w:t>
      </w:r>
    </w:p>
    <w:p>
      <w:pPr>
        <w:spacing w:after="120" w:line="280"/>
      </w:pPr>
      <w:r>
        <w:rPr>
          <w:rFonts w:ascii="Arial" w:cs="Arial" w:eastAsia="Arial" w:hAnsi="Arial"/>
          <w:b w:val="false"/>
          <w:bCs w:val="false"/>
          <w:color w:val="28251D"/>
          <w:sz w:val="22"/>
          <w:szCs w:val="22"/>
        </w:rPr>
        <w:t xml:space="preserve">Customer &amp; Partner Engagements</w:t>
      </w:r>
    </w:p>
    <w:p>
      <w:pPr>
        <w:spacing w:after="120" w:line="280"/>
      </w:pPr>
      <w:r>
        <w:rPr>
          <w:rFonts w:ascii="Arial" w:cs="Arial" w:eastAsia="Arial" w:hAnsi="Arial"/>
          <w:b w:val="false"/>
          <w:bCs w:val="false"/>
          <w:color w:val="28251D"/>
          <w:sz w:val="22"/>
          <w:szCs w:val="22"/>
        </w:rPr>
        <w:t xml:space="preserve">Author: Alex Morgan (fictional)</w:t>
      </w:r>
    </w:p>
    <w:p>
      <w:pPr>
        <w:spacing w:after="120" w:line="280"/>
      </w:pPr>
      <w:r>
        <w:rPr>
          <w:rFonts w:ascii="Arial" w:cs="Arial" w:eastAsia="Arial" w:hAnsi="Arial"/>
          <w:b w:val="false"/>
          <w:bCs w:val="false"/>
          <w:color w:val="28251D"/>
          <w:sz w:val="22"/>
          <w:szCs w:val="22"/>
        </w:rPr>
        <w:t xml:space="preserve">Trip dates: August 12, 2026 | Location: Ploiești, Romania (fictional visit)</w:t>
      </w:r>
    </w:p>
    <w:p>
      <w:pPr>
        <w:spacing w:after="120" w:line="280"/>
      </w:pPr>
      <w:r>
        <w:rPr>
          <w:rFonts w:ascii="Arial" w:cs="Arial" w:eastAsia="Arial" w:hAnsi="Arial"/>
          <w:b w:val="false"/>
          <w:bCs w:val="false"/>
          <w:color w:val="28251D"/>
          <w:sz w:val="22"/>
          <w:szCs w:val="22"/>
        </w:rPr>
        <w:t xml:space="preserve">Company attendees: Alex Morgan (fictional)</w:t>
      </w:r>
    </w:p>
    <w:p>
      <w:pPr>
        <w:spacing w:after="120" w:line="280"/>
      </w:pPr>
      <w:r>
        <w:rPr>
          <w:rFonts w:ascii="Arial" w:cs="Arial" w:eastAsia="Arial" w:hAnsi="Arial"/>
          <w:b w:val="false"/>
          <w:bCs w:val="false"/>
          <w:color w:val="28251D"/>
          <w:sz w:val="22"/>
          <w:szCs w:val="22"/>
        </w:rPr>
        <w:t xml:space="preserve">Purpose: Evaluate a potential composite-component supplier for a modular-shelter package.</w:t>
      </w:r>
    </w:p>
    <w:p>
      <w:pPr>
        <w:spacing w:after="120" w:line="280"/>
      </w:pPr>
      <w:r>
        <w:rPr>
          <w:rFonts w:ascii="Arial" w:cs="Arial" w:eastAsia="Arial" w:hAnsi="Arial"/>
          <w:b w:val="false"/>
          <w:bCs w:val="false"/>
          <w:color w:val="28251D"/>
          <w:sz w:val="22"/>
          <w:szCs w:val="22"/>
        </w:rPr>
        <w:t xml:space="preserve">Illustrative demonstration based on fictional meeting notes, not verified businesses or opportunities.</w:t>
      </w:r>
    </w:p>
    <w:p>
      <w:pPr>
        <w:keepNext/>
        <w:spacing w:after="120" w:before="180"/>
      </w:pPr>
      <w:r>
        <w:rPr>
          <w:rFonts w:ascii="Arial" w:cs="Arial" w:eastAsia="Arial" w:hAnsi="Arial"/>
          <w:b/>
          <w:bCs/>
          <w:color w:val="01696F"/>
          <w:sz w:val="22"/>
          <w:szCs w:val="22"/>
        </w:rPr>
        <w:t xml:space="preserve">BLUF</w:t>
      </w:r>
    </w:p>
    <w:p>
      <w:pPr>
        <w:spacing w:after="120" w:line="280"/>
      </w:pPr>
      <w:r>
        <w:rPr>
          <w:rFonts w:ascii="Arial" w:cs="Arial" w:eastAsia="Arial" w:hAnsi="Arial"/>
          <w:b w:val="false"/>
          <w:bCs w:val="false"/>
          <w:color w:val="28251D"/>
          <w:sz w:val="22"/>
          <w:szCs w:val="22"/>
        </w:rPr>
        <w:t xml:space="preserve">Aureus may be a useful component supplier, but the visit did not establish production readiness or a confirmed commercial opportunity. I would proceed to technical qualification, with capacity, tooling arrangements and inspection requirements resolved before any production decision. The value is complementary manufacturing support, not demonstrated access to new customers.</w:t>
      </w:r>
    </w:p>
    <w:p>
      <w:pPr>
        <w:keepNext/>
        <w:spacing w:after="120" w:before="180"/>
      </w:pPr>
      <w:r>
        <w:rPr>
          <w:rFonts w:ascii="Arial" w:cs="Arial" w:eastAsia="Arial" w:hAnsi="Arial"/>
          <w:b/>
          <w:bCs/>
          <w:color w:val="01696F"/>
          <w:sz w:val="22"/>
          <w:szCs w:val="22"/>
        </w:rPr>
        <w:t xml:space="preserve">Commercial discussion</w:t>
      </w:r>
    </w:p>
    <w:p>
      <w:pPr>
        <w:spacing w:after="120" w:line="280"/>
      </w:pPr>
      <w:r>
        <w:rPr>
          <w:rFonts w:ascii="Arial" w:cs="Arial" w:eastAsia="Arial" w:hAnsi="Arial"/>
          <w:b w:val="false"/>
          <w:bCs w:val="false"/>
          <w:color w:val="28251D"/>
          <w:sz w:val="22"/>
          <w:szCs w:val="22"/>
        </w:rPr>
        <w:t xml:space="preserve">Andrei described experience with composite housings and tooling. We discussed a possible component package, but did not agree pricing, quantities or an order. Customer references and proposed commercial terms are still needed.</w:t>
      </w:r>
    </w:p>
    <w:p>
      <w:pPr>
        <w:keepNext/>
        <w:spacing w:after="120" w:before="180"/>
      </w:pPr>
      <w:r>
        <w:rPr>
          <w:rFonts w:ascii="Arial" w:cs="Arial" w:eastAsia="Arial" w:hAnsi="Arial"/>
          <w:b/>
          <w:bCs/>
          <w:color w:val="01696F"/>
          <w:sz w:val="22"/>
          <w:szCs w:val="22"/>
        </w:rPr>
        <w:t xml:space="preserve">Production and quality walkthrough</w:t>
      </w:r>
    </w:p>
    <w:p>
      <w:pPr>
        <w:spacing w:after="120" w:line="280"/>
      </w:pPr>
      <w:r>
        <w:rPr>
          <w:rFonts w:ascii="Arial" w:cs="Arial" w:eastAsia="Arial" w:hAnsi="Arial"/>
          <w:b w:val="false"/>
          <w:bCs w:val="false"/>
          <w:color w:val="28251D"/>
          <w:sz w:val="22"/>
          <w:szCs w:val="22"/>
        </w:rPr>
        <w:t xml:space="preserve">Mihai and Cătălin walked me through molding operations and changeovers. Visible activity established that equipment was in use, not that spare capacity was available. A written allocation and shift plan would be needed before relying on a delivery date.</w:t>
      </w:r>
    </w:p>
    <w:p>
      <w:pPr>
        <w:spacing w:after="120" w:line="280"/>
      </w:pPr>
      <w:r>
        <w:rPr>
          <w:rFonts w:ascii="Arial" w:cs="Arial" w:eastAsia="Arial" w:hAnsi="Arial"/>
          <w:b w:val="false"/>
          <w:bCs w:val="false"/>
          <w:color w:val="28251D"/>
          <w:sz w:val="22"/>
          <w:szCs w:val="22"/>
        </w:rPr>
        <w:t xml:space="preserve">Roxana discussed inspection and traceability processes. I still need to review the relevant documents against the customer's requirements; a walkthrough is not an independent certification or compliance assessment.</w:t>
      </w:r>
    </w:p>
    <w:p>
      <w:pPr>
        <w:keepNext/>
        <w:spacing w:after="120" w:before="180"/>
      </w:pPr>
      <w:r>
        <w:rPr>
          <w:rFonts w:ascii="Arial" w:cs="Arial" w:eastAsia="Arial" w:hAnsi="Arial"/>
          <w:b/>
          <w:bCs/>
          <w:color w:val="01696F"/>
          <w:sz w:val="22"/>
          <w:szCs w:val="22"/>
        </w:rPr>
        <w:t xml:space="preserve">Key Market Findings / Analysis</w:t>
      </w:r>
    </w:p>
    <w:p>
      <w:pPr>
        <w:spacing w:after="120" w:line="280"/>
      </w:pPr>
      <w:r>
        <w:rPr>
          <w:rFonts w:ascii="Arial" w:cs="Arial" w:eastAsia="Arial" w:hAnsi="Arial"/>
          <w:b w:val="false"/>
          <w:bCs w:val="false"/>
          <w:color w:val="28251D"/>
          <w:sz w:val="22"/>
          <w:szCs w:val="22"/>
        </w:rPr>
        <w:t xml:space="preserve">A staged qualification process is more appropriate than treating the visit as a sourcing decision. Technical compatibility, capacity and documented quality controls are separate gates. A prototype could test the proposed contribution, but its scope and acceptance criteria must be agreed before work starts. Retain a second-source option while those questions remain open.</w:t>
      </w:r>
    </w:p>
    <w:p>
      <w:pPr>
        <w:keepNext/>
        <w:spacing w:after="120" w:before="180"/>
      </w:pPr>
      <w:r>
        <w:rPr>
          <w:rFonts w:ascii="Arial" w:cs="Arial" w:eastAsia="Arial" w:hAnsi="Arial"/>
          <w:b/>
          <w:bCs/>
          <w:color w:val="01696F"/>
          <w:sz w:val="22"/>
          <w:szCs w:val="22"/>
        </w:rPr>
        <w:t xml:space="preserve">Recommended Actions</w:t>
      </w:r>
    </w:p>
    <w:p>
      <w:pPr>
        <w:spacing w:after="120" w:line="280"/>
      </w:pPr>
      <w:r>
        <w:rPr>
          <w:rFonts w:ascii="Arial" w:cs="Arial" w:eastAsia="Arial" w:hAnsi="Arial"/>
          <w:b w:val="false"/>
          <w:bCs w:val="false"/>
          <w:color w:val="28251D"/>
          <w:sz w:val="22"/>
          <w:szCs w:val="22"/>
        </w:rPr>
        <w:t xml:space="preserve">Andrei Popescu (Aureus Composite S.R.L.; Medium suggested priority): Request a capability statement and relevant project references. Clarify tooling ownership, indicative pricing and prototype terms. Priority rationale: Check complementary supply capabilities; no specific requirement or urgent action is established.</w:t>
      </w:r>
    </w:p>
    <w:p>
      <w:pPr>
        <w:spacing w:after="120" w:line="280"/>
      </w:pPr>
      <w:r>
        <w:rPr>
          <w:rFonts w:ascii="Arial" w:cs="Arial" w:eastAsia="Arial" w:hAnsi="Arial"/>
          <w:b w:val="false"/>
          <w:bCs w:val="false"/>
          <w:color w:val="28251D"/>
          <w:sz w:val="22"/>
          <w:szCs w:val="22"/>
        </w:rPr>
        <w:t xml:space="preserve">Mihai Ionescu (Aureus Composite S.R.L.; Medium suggested priority): Request a written capacity and shift plan for the proposed component package. Confirm dedicated tooling-storage space and responsibility for maintenance. Priority rationale: Check complementary supply capabilities; no specific requirement or urgent action is established.</w:t>
      </w:r>
    </w:p>
    <w:p>
      <w:pPr>
        <w:spacing w:after="120" w:line="280"/>
      </w:pPr>
      <w:r>
        <w:rPr>
          <w:rFonts w:ascii="Arial" w:cs="Arial" w:eastAsia="Arial" w:hAnsi="Arial"/>
          <w:b w:val="false"/>
          <w:bCs w:val="false"/>
          <w:color w:val="28251D"/>
          <w:sz w:val="22"/>
          <w:szCs w:val="22"/>
        </w:rPr>
        <w:t xml:space="preserve">Roxana Neagu (Aureus Composite S.R.L.; Medium suggested priority): Request current certification scope and a sample first-article inspection record. Compare traceability and inspection controls with the customer's requirements. Priority rationale: Check complementary supply capabilities; no specific requirement or urgent action is established.</w:t>
      </w:r>
    </w:p>
    <w:p>
      <w:pPr>
        <w:spacing w:after="120" w:line="280"/>
      </w:pPr>
      <w:r>
        <w:rPr>
          <w:rFonts w:ascii="Arial" w:cs="Arial" w:eastAsia="Arial" w:hAnsi="Arial"/>
          <w:b w:val="false"/>
          <w:bCs w:val="false"/>
          <w:color w:val="28251D"/>
          <w:sz w:val="22"/>
          <w:szCs w:val="22"/>
        </w:rPr>
        <w:t xml:space="preserve">Cătălin Dobre (Aureus Composite S.R.L.; Medium suggested priority): Arrange an engineering discussion on part geometry and changeover needs. Identify the evidence needed from a prototype trial before a production decision. Priority rationale: Check complementary supply capabilities; no specific requirement or urgent action is established.</w:t>
      </w:r>
    </w:p>
    <w:p>
      <w:pPr>
        <w:spacing w:after="120" w:line="280"/>
      </w:pPr>
      <w:r>
        <w:rPr>
          <w:rFonts w:ascii="Arial" w:cs="Arial" w:eastAsia="Arial" w:hAnsi="Arial"/>
          <w:b w:val="false"/>
          <w:bCs w:val="false"/>
          <w:color w:val="28251D"/>
          <w:sz w:val="22"/>
          <w:szCs w:val="22"/>
        </w:rPr>
        <w:t xml:space="preserve">Recorded contact follow-ups; completion is not recorded. Priorities are suggested, not deadlines or commitments. Verify credentials alongside commercial qualification.</w:t>
      </w:r>
    </w:p>
    <w:p>
      <w:pPr>
        <w:keepNext/>
        <w:spacing w:after="100" w:before="160"/>
      </w:pPr>
      <w:r>
        <w:rPr>
          <w:rFonts w:ascii="Arial" w:cs="Arial" w:eastAsia="Arial" w:hAnsi="Arial"/>
          <w:b/>
          <w:bCs/>
          <w:color w:val="01696F"/>
          <w:sz w:val="22"/>
          <w:szCs w:val="22"/>
        </w:rPr>
        <w:t xml:space="preserve">Business-fit assessments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19"/>
        <w:gridCol w:w="3226"/>
        <w:gridCol w:w="4435"/>
      </w:tblGrid>
      <w:tr>
        <w:trPr>
          <w:cantSplit/>
          <w:tblHeader/>
        </w:trPr>
        <w:tc>
          <w:tcPr>
            <w:tcW w:type="pct" w:w="24%"/>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Business</w:t>
            </w:r>
          </w:p>
        </w:tc>
        <w:tc>
          <w:tcPr>
            <w:tcW w:type="pct" w:w="32%"/>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Preliminary fit / Verification</w:t>
            </w:r>
          </w:p>
        </w:tc>
        <w:tc>
          <w:tcPr>
            <w:tcW w:type="pct" w:w="44%"/>
            <w:shd w:fill="01696F"/>
            <w:tcMar>
              <w:top w:type="dxa" w:w="70"/>
              <w:left w:type="dxa" w:w="90"/>
              <w:bottom w:type="dxa" w:w="70"/>
              <w:right w:type="dxa" w:w="90"/>
            </w:tcMar>
          </w:tcPr>
          <w:p>
            <w:pPr>
              <w:spacing w:after="40"/>
            </w:pPr>
            <w:r>
              <w:rPr>
                <w:rFonts w:ascii="Arial" w:cs="Arial" w:eastAsia="Arial" w:hAnsi="Arial"/>
                <w:b/>
                <w:bCs/>
                <w:color w:val="FFFFFF"/>
                <w:sz w:val="22"/>
                <w:szCs w:val="22"/>
              </w:rPr>
              <w:t xml:space="preserve">Practical value / Opportunity</w:t>
            </w:r>
          </w:p>
        </w:tc>
      </w:tr>
      <w:tr>
        <w:trPr>
          <w:cantSplit/>
        </w:trPr>
        <w:tc>
          <w:tcPr>
            <w:tcW w:type="pct" w:w="2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Aureus Composite S.R.L.</w:t>
            </w:r>
          </w:p>
        </w:tc>
        <w:tc>
          <w:tcPr>
            <w:tcW w:type="pct" w:w="32%"/>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Moderate potential: Complementary supplier Unverified: fictional demonstration. Medium suggested priority.</w:t>
            </w:r>
          </w:p>
        </w:tc>
        <w:tc>
          <w:tcPr>
            <w:tcW w:type="pct" w:w="44%"/>
            <w:tcMar>
              <w:top w:type="dxa" w:w="70"/>
              <w:left w:type="dxa" w:w="90"/>
              <w:bottom w:type="dxa" w:w="70"/>
              <w:right w:type="dxa" w:w="90"/>
            </w:tcMar>
          </w:tcPr>
          <w:p>
            <w:pPr>
              <w:spacing w:after="40"/>
            </w:pPr>
            <w:r>
              <w:rPr>
                <w:rFonts w:ascii="Arial" w:cs="Arial" w:eastAsia="Arial" w:hAnsi="Arial"/>
                <w:b w:val="false"/>
                <w:bCs w:val="false"/>
                <w:color w:val="28251D"/>
                <w:sz w:val="22"/>
                <w:szCs w:val="22"/>
              </w:rPr>
              <w:t xml:space="preserve">Reported composite and tooling capabilities could complement Summit's shelter package. Capacity, quality controls and customer qualification remain unverified. Opportunity: Exploratory.</w:t>
            </w:r>
          </w:p>
        </w:tc>
      </w:tr>
    </w:tbl>
    <w:p>
      <w:pPr>
        <w:spacing w:after="100"/>
      </w:pPr>
      <w:r>
        <w:rPr>
          <w:rFonts w:ascii="Arial" w:cs="Arial" w:eastAsia="Arial" w:hAnsi="Arial"/>
          <w:sz w:val="22"/>
          <w:szCs w:val="22"/>
        </w:rPr>
        <w:t xml:space="preserve">Preliminary fit and suggested priority reflect user-reported meeting notes, not independent verification or a commitment. Within a priority band, businesses are ordered by opportunity maturity, then fit, then alphabetically where evidence is equal. Any numeric score uses the separate evidence-backed rubric, not deal maturity. Unverified credentials still require qualification.</w:t>
      </w:r>
    </w:p>
    <w:p>
      <w:pPr>
        <w:spacing w:after="120" w:line="280"/>
      </w:pPr>
      <w:r>
        <w:rPr>
          <w:rFonts w:ascii="Arial" w:cs="Arial" w:eastAsia="Arial" w:hAnsi="Arial"/>
          <w:b w:val="false"/>
          <w:bCs w:val="false"/>
          <w:color w:val="28251D"/>
          <w:sz w:val="22"/>
          <w:szCs w:val="22"/>
        </w:rPr>
        <w:t xml:space="preserve">Contacts and business assessments are in the Excel workbook, with supporting evidence in cell notes. Original notes and photos remain in the trip. Review AI analysis and attributed claims before decisions or outreach.</w:t>
      </w:r>
    </w:p>
    <w:p>
      <w:pPr>
        <w:sectPr>
          <w:footerReference w:type="default" r:id="rId7"/>
          <w:pgSz w:w="12240" w:h="15840" w:orient="portrait"/>
          <w:pgMar w:top="1080" w:right="1080" w:bottom="1080" w:left="1080" w:header="708" w:footer="708" w:gutter="0"/>
          <w:pgNumType/>
          <w:docGrid w:linePitch="360"/>
        </w:sectPr>
      </w:pPr>
    </w:p>
    <w:p>
      <w:pPr>
        <w:keepNext/>
        <w:spacing w:after="100" w:before="160"/>
      </w:pPr>
      <w:r>
        <w:rPr>
          <w:rFonts w:ascii="Arial" w:cs="Arial" w:eastAsia="Arial" w:hAnsi="Arial"/>
          <w:b/>
          <w:bCs/>
          <w:color w:val="01696F"/>
          <w:sz w:val="22"/>
          <w:szCs w:val="22"/>
        </w:rPr>
        <w:t xml:space="preserve">Contact summary</w:t>
      </w:r>
    </w:p>
    <w:p>
      <w:pPr>
        <w:keepNext/>
        <w:spacing w:after="100"/>
      </w:pPr>
      <w:r>
        <w:rPr>
          <w:rFonts w:ascii="Arial" w:cs="Arial" w:eastAsia="Arial" w:hAnsi="Arial"/>
          <w:color w:val="28251D"/>
          <w:sz w:val="22"/>
          <w:szCs w:val="22"/>
        </w:rPr>
        <w:t xml:space="preserve">Full contact records are in Excel. Wholly empty columns are omitted; missing details are not inferred.</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31"/>
        <w:gridCol w:w="3003"/>
        <w:gridCol w:w="3646"/>
      </w:tblGrid>
      <w:tr>
        <w:trPr>
          <w:cantSplit/>
          <w:tblHeader/>
        </w:trPr>
        <w:tc>
          <w:tcPr>
            <w:tcW w:type="pct" w:w="34.04255319148936%"/>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Company</w:t>
            </w:r>
          </w:p>
        </w:tc>
        <w:tc>
          <w:tcPr>
            <w:tcW w:type="pct" w:w="29.78723404255319%"/>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Name</w:t>
            </w:r>
          </w:p>
        </w:tc>
        <w:tc>
          <w:tcPr>
            <w:tcW w:type="pct" w:w="36.17021276595745%"/>
            <w:shd w:fill="01696F"/>
            <w:tcMar>
              <w:top w:type="dxa" w:w="90"/>
              <w:left w:type="dxa" w:w="100"/>
              <w:bottom w:type="dxa" w:w="90"/>
              <w:right w:type="dxa" w:w="100"/>
            </w:tcMar>
          </w:tcPr>
          <w:p>
            <w:pPr>
              <w:spacing w:after="35"/>
            </w:pPr>
            <w:r>
              <w:rPr>
                <w:rFonts w:ascii="Arial" w:cs="Arial" w:eastAsia="Arial" w:hAnsi="Arial"/>
                <w:b/>
                <w:bCs/>
                <w:color w:val="FFFFFF"/>
                <w:sz w:val="22"/>
                <w:szCs w:val="22"/>
              </w:rPr>
              <w:t xml:space="preserve">Job title</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Aureus Composite S.R.L.</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Andrei Popescu</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Commercial Director</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Aureus Composite S.R.L.</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Cătălin Dobre</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Shift Supervisor</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Aureus Composite S.R.L.</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Mihai Ionescu</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Plant Manager</w:t>
            </w:r>
          </w:p>
        </w:tc>
      </w:tr>
      <w:tr>
        <w:trPr>
          <w:cantSplit/>
        </w:trPr>
        <w:tc>
          <w:tcPr>
            <w:tcW w:type="pct" w:w="34.04255319148936%"/>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Aureus Composite S.R.L.</w:t>
            </w:r>
          </w:p>
        </w:tc>
        <w:tc>
          <w:tcPr>
            <w:tcW w:type="pct" w:w="29.78723404255319%"/>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Roxana Neagu</w:t>
            </w:r>
          </w:p>
        </w:tc>
        <w:tc>
          <w:tcPr>
            <w:tcW w:type="pct" w:w="36.17021276595745%"/>
            <w:tcMar>
              <w:top w:type="dxa" w:w="90"/>
              <w:left w:type="dxa" w:w="100"/>
              <w:bottom w:type="dxa" w:w="90"/>
              <w:right w:type="dxa" w:w="100"/>
            </w:tcMar>
          </w:tcPr>
          <w:p>
            <w:pPr>
              <w:spacing w:after="35"/>
            </w:pPr>
            <w:r>
              <w:rPr>
                <w:rFonts w:ascii="Arial" w:cs="Arial" w:eastAsia="Arial" w:hAnsi="Arial"/>
                <w:b w:val="false"/>
                <w:bCs w:val="false"/>
                <w:color w:val="28251D"/>
                <w:sz w:val="22"/>
                <w:szCs w:val="22"/>
              </w:rPr>
              <w:t xml:space="preserve">Quality Lead</w:t>
            </w:r>
          </w:p>
        </w:tc>
      </w:tr>
    </w:tbl>
    <w:sectPr>
      <w:type w:val="nextPage"/>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b w:val="false"/>
        <w:bCs w:val="false"/>
        <w:color w:val="28251D"/>
        <w:sz w:val="22"/>
        <w:szCs w:val="22"/>
      </w:rPr>
      <w:t xml:space="preserve">TripDeck | Management report • </w:t>
    </w:r>
    <w:r>
      <w:rPr>
        <w:rFonts w:ascii="Arial" w:cs="Arial" w:eastAsia="Arial" w:hAnsi="Arial"/>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51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Morgan (fictional)</dc:creator>
  <cp:lastModifiedBy>Un-named</cp:lastModifiedBy>
  <cp:revision>1</cp:revision>
  <dcterms:created xsi:type="dcterms:W3CDTF">2026-10-12T11:41:02.975Z</dcterms:created>
  <dcterms:modified xsi:type="dcterms:W3CDTF">2026-10-12T11:41:02.975Z</dcterms:modified>
</cp:coreProperties>
</file>

<file path=docProps/custom.xml><?xml version="1.0" encoding="utf-8"?>
<Properties xmlns="http://schemas.openxmlformats.org/officeDocument/2006/custom-properties" xmlns:vt="http://schemas.openxmlformats.org/officeDocument/2006/docPropsVTypes"/>
</file>